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wordWrap w:val="0"/>
        <w:spacing w:beforeAutospacing="0" w:afterAutospacing="0" w:line="580" w:lineRule="exact"/>
        <w:jc w:val="center"/>
        <w:rPr>
          <w:rFonts w:ascii="方正小标宋简体" w:hAnsi="方正小标宋简体" w:eastAsia="方正小标宋简体" w:cs="方正小标宋简体"/>
          <w:color w:val="231916"/>
          <w:sz w:val="44"/>
          <w:szCs w:val="44"/>
        </w:rPr>
      </w:pPr>
      <w:r>
        <w:rPr>
          <w:rFonts w:hint="eastAsia" w:ascii="方正小标宋简体" w:hAnsi="方正小标宋简体" w:eastAsia="方正小标宋简体" w:cs="方正小标宋简体"/>
          <w:color w:val="231916"/>
          <w:sz w:val="44"/>
          <w:szCs w:val="44"/>
          <w:lang w:eastAsia="zh-CN"/>
        </w:rPr>
        <w:t>广灵县涉农</w:t>
      </w:r>
      <w:r>
        <w:rPr>
          <w:rFonts w:hint="eastAsia" w:ascii="方正小标宋简体" w:hAnsi="方正小标宋简体" w:eastAsia="方正小标宋简体" w:cs="方正小标宋简体"/>
          <w:color w:val="231916"/>
          <w:sz w:val="44"/>
          <w:szCs w:val="44"/>
        </w:rPr>
        <w:t>补贴领域基层政务公开标准目录</w:t>
      </w:r>
    </w:p>
    <w:tbl>
      <w:tblPr>
        <w:tblStyle w:val="3"/>
        <w:tblpPr w:leftFromText="180" w:rightFromText="180" w:vertAnchor="text" w:horzAnchor="page" w:tblpX="1107" w:tblpY="246"/>
        <w:tblOverlap w:val="never"/>
        <w:tblW w:w="14220" w:type="dxa"/>
        <w:tblInd w:w="0" w:type="dxa"/>
        <w:tblLayout w:type="fixed"/>
        <w:tblCellMar>
          <w:top w:w="0" w:type="dxa"/>
          <w:left w:w="0" w:type="dxa"/>
          <w:bottom w:w="0" w:type="dxa"/>
          <w:right w:w="0" w:type="dxa"/>
        </w:tblCellMar>
      </w:tblPr>
      <w:tblGrid>
        <w:gridCol w:w="324"/>
        <w:gridCol w:w="552"/>
        <w:gridCol w:w="552"/>
        <w:gridCol w:w="2382"/>
        <w:gridCol w:w="3350"/>
        <w:gridCol w:w="970"/>
        <w:gridCol w:w="631"/>
        <w:gridCol w:w="2160"/>
        <w:gridCol w:w="620"/>
        <w:gridCol w:w="470"/>
        <w:gridCol w:w="590"/>
        <w:gridCol w:w="599"/>
        <w:gridCol w:w="520"/>
        <w:gridCol w:w="500"/>
      </w:tblGrid>
      <w:tr>
        <w:tblPrEx>
          <w:tblCellMar>
            <w:top w:w="0" w:type="dxa"/>
            <w:left w:w="0" w:type="dxa"/>
            <w:bottom w:w="0" w:type="dxa"/>
            <w:right w:w="0" w:type="dxa"/>
          </w:tblCellMar>
        </w:tblPrEx>
        <w:trPr>
          <w:trHeight w:val="90" w:hRule="atLeast"/>
        </w:trPr>
        <w:tc>
          <w:tcPr>
            <w:tcW w:w="324" w:type="dxa"/>
            <w:vMerge w:val="restart"/>
            <w:tcBorders>
              <w:top w:val="single" w:color="auto"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序号</w:t>
            </w:r>
          </w:p>
        </w:tc>
        <w:tc>
          <w:tcPr>
            <w:tcW w:w="1104" w:type="dxa"/>
            <w:gridSpan w:val="2"/>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公开事项</w:t>
            </w:r>
          </w:p>
        </w:tc>
        <w:tc>
          <w:tcPr>
            <w:tcW w:w="2382" w:type="dxa"/>
            <w:vMerge w:val="restart"/>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公开内容(要素)</w:t>
            </w:r>
          </w:p>
        </w:tc>
        <w:tc>
          <w:tcPr>
            <w:tcW w:w="3350" w:type="dxa"/>
            <w:vMerge w:val="restart"/>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公开依据</w:t>
            </w:r>
          </w:p>
        </w:tc>
        <w:tc>
          <w:tcPr>
            <w:tcW w:w="970" w:type="dxa"/>
            <w:vMerge w:val="restart"/>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公开时限</w:t>
            </w:r>
          </w:p>
        </w:tc>
        <w:tc>
          <w:tcPr>
            <w:tcW w:w="631" w:type="dxa"/>
            <w:vMerge w:val="restart"/>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rFonts w:ascii="宋体" w:hAnsi="宋体" w:eastAsia="宋体" w:cs="宋体"/>
                <w:color w:val="231916"/>
                <w:kern w:val="0"/>
                <w:sz w:val="18"/>
                <w:szCs w:val="18"/>
              </w:rPr>
            </w:pPr>
            <w:r>
              <w:rPr>
                <w:rFonts w:hint="eastAsia" w:ascii="宋体" w:hAnsi="宋体" w:eastAsia="宋体" w:cs="宋体"/>
                <w:color w:val="231916"/>
                <w:kern w:val="0"/>
                <w:sz w:val="18"/>
                <w:szCs w:val="18"/>
              </w:rPr>
              <w:t>公开</w:t>
            </w:r>
          </w:p>
          <w:p>
            <w:pPr>
              <w:widowControl/>
              <w:spacing w:line="300" w:lineRule="exact"/>
              <w:jc w:val="center"/>
              <w:textAlignment w:val="center"/>
              <w:rPr>
                <w:sz w:val="18"/>
                <w:szCs w:val="18"/>
              </w:rPr>
            </w:pPr>
            <w:r>
              <w:rPr>
                <w:rFonts w:hint="eastAsia" w:ascii="宋体" w:hAnsi="宋体" w:eastAsia="宋体" w:cs="宋体"/>
                <w:color w:val="231916"/>
                <w:kern w:val="0"/>
                <w:sz w:val="18"/>
                <w:szCs w:val="18"/>
              </w:rPr>
              <w:t>主体</w:t>
            </w:r>
          </w:p>
        </w:tc>
        <w:tc>
          <w:tcPr>
            <w:tcW w:w="2160" w:type="dxa"/>
            <w:vMerge w:val="restart"/>
            <w:tcBorders>
              <w:top w:val="single" w:color="auto" w:sz="8" w:space="0"/>
              <w:left w:val="nil"/>
              <w:bottom w:val="single" w:color="231916" w:sz="8" w:space="0"/>
              <w:right w:val="single" w:color="auto"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公开渠道和载体</w:t>
            </w:r>
          </w:p>
        </w:tc>
        <w:tc>
          <w:tcPr>
            <w:tcW w:w="1090" w:type="dxa"/>
            <w:gridSpan w:val="2"/>
            <w:tcBorders>
              <w:top w:val="single" w:color="auto" w:sz="8" w:space="0"/>
              <w:left w:val="nil"/>
              <w:bottom w:val="nil"/>
              <w:right w:val="single" w:color="auto"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公开对象</w:t>
            </w:r>
          </w:p>
        </w:tc>
        <w:tc>
          <w:tcPr>
            <w:tcW w:w="1189" w:type="dxa"/>
            <w:gridSpan w:val="2"/>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公开方式</w:t>
            </w:r>
          </w:p>
        </w:tc>
        <w:tc>
          <w:tcPr>
            <w:tcW w:w="1020" w:type="dxa"/>
            <w:gridSpan w:val="2"/>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公开层级</w:t>
            </w:r>
          </w:p>
        </w:tc>
      </w:tr>
      <w:tr>
        <w:tblPrEx>
          <w:tblCellMar>
            <w:top w:w="0" w:type="dxa"/>
            <w:left w:w="0" w:type="dxa"/>
            <w:bottom w:w="0" w:type="dxa"/>
            <w:right w:w="0" w:type="dxa"/>
          </w:tblCellMar>
        </w:tblPrEx>
        <w:trPr>
          <w:trHeight w:val="90" w:hRule="atLeast"/>
        </w:trPr>
        <w:tc>
          <w:tcPr>
            <w:tcW w:w="324" w:type="dxa"/>
            <w:vMerge w:val="continue"/>
            <w:tcBorders>
              <w:top w:val="single" w:color="auto"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rPr>
                <w:rFonts w:ascii="宋体"/>
                <w:sz w:val="18"/>
                <w:szCs w:val="18"/>
              </w:rPr>
            </w:pPr>
          </w:p>
        </w:tc>
        <w:tc>
          <w:tcPr>
            <w:tcW w:w="552"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一级事项</w:t>
            </w:r>
          </w:p>
        </w:tc>
        <w:tc>
          <w:tcPr>
            <w:tcW w:w="552"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二级事项</w:t>
            </w:r>
          </w:p>
        </w:tc>
        <w:tc>
          <w:tcPr>
            <w:tcW w:w="2382" w:type="dxa"/>
            <w:vMerge w:val="continue"/>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rPr>
                <w:rFonts w:ascii="宋体"/>
                <w:sz w:val="18"/>
                <w:szCs w:val="18"/>
              </w:rPr>
            </w:pPr>
          </w:p>
        </w:tc>
        <w:tc>
          <w:tcPr>
            <w:tcW w:w="3350" w:type="dxa"/>
            <w:vMerge w:val="continue"/>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rPr>
                <w:rFonts w:ascii="宋体"/>
                <w:sz w:val="18"/>
                <w:szCs w:val="18"/>
              </w:rPr>
            </w:pPr>
          </w:p>
        </w:tc>
        <w:tc>
          <w:tcPr>
            <w:tcW w:w="970" w:type="dxa"/>
            <w:vMerge w:val="continue"/>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rPr>
                <w:rFonts w:ascii="宋体"/>
                <w:sz w:val="18"/>
                <w:szCs w:val="18"/>
              </w:rPr>
            </w:pPr>
          </w:p>
        </w:tc>
        <w:tc>
          <w:tcPr>
            <w:tcW w:w="631" w:type="dxa"/>
            <w:vMerge w:val="continue"/>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rPr>
                <w:rFonts w:ascii="宋体"/>
                <w:sz w:val="18"/>
                <w:szCs w:val="18"/>
              </w:rPr>
            </w:pPr>
          </w:p>
        </w:tc>
        <w:tc>
          <w:tcPr>
            <w:tcW w:w="2160" w:type="dxa"/>
            <w:vMerge w:val="continue"/>
            <w:tcBorders>
              <w:top w:val="single" w:color="auto" w:sz="8" w:space="0"/>
              <w:left w:val="nil"/>
              <w:bottom w:val="single" w:color="231916" w:sz="8" w:space="0"/>
              <w:right w:val="single" w:color="auto" w:sz="8" w:space="0"/>
            </w:tcBorders>
            <w:shd w:val="clear" w:color="auto" w:fill="auto"/>
            <w:tcMar>
              <w:top w:w="12" w:type="dxa"/>
              <w:left w:w="12" w:type="dxa"/>
              <w:right w:w="12" w:type="dxa"/>
            </w:tcMar>
            <w:vAlign w:val="center"/>
          </w:tcPr>
          <w:p>
            <w:pPr>
              <w:widowControl/>
              <w:spacing w:line="300" w:lineRule="exact"/>
              <w:rPr>
                <w:rFonts w:ascii="宋体"/>
                <w:sz w:val="18"/>
                <w:szCs w:val="18"/>
              </w:rPr>
            </w:pPr>
          </w:p>
        </w:tc>
        <w:tc>
          <w:tcPr>
            <w:tcW w:w="620" w:type="dxa"/>
            <w:tcBorders>
              <w:top w:val="single" w:color="auto" w:sz="8" w:space="0"/>
              <w:left w:val="nil"/>
              <w:bottom w:val="single" w:color="auto" w:sz="8" w:space="0"/>
              <w:right w:val="single" w:color="auto"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全社会</w:t>
            </w:r>
          </w:p>
        </w:tc>
        <w:tc>
          <w:tcPr>
            <w:tcW w:w="470" w:type="dxa"/>
            <w:tcBorders>
              <w:top w:val="single" w:color="auto" w:sz="8" w:space="0"/>
              <w:left w:val="nil"/>
              <w:bottom w:val="single" w:color="auto" w:sz="8" w:space="0"/>
              <w:right w:val="single" w:color="auto"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特定群体</w:t>
            </w:r>
          </w:p>
        </w:tc>
        <w:tc>
          <w:tcPr>
            <w:tcW w:w="590" w:type="dxa"/>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主动</w:t>
            </w:r>
          </w:p>
        </w:tc>
        <w:tc>
          <w:tcPr>
            <w:tcW w:w="599" w:type="dxa"/>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依申请</w:t>
            </w:r>
          </w:p>
        </w:tc>
        <w:tc>
          <w:tcPr>
            <w:tcW w:w="520" w:type="dxa"/>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县级</w:t>
            </w:r>
          </w:p>
        </w:tc>
        <w:tc>
          <w:tcPr>
            <w:tcW w:w="500" w:type="dxa"/>
            <w:tcBorders>
              <w:top w:val="single" w:color="auto"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center"/>
              <w:textAlignment w:val="center"/>
              <w:rPr>
                <w:sz w:val="18"/>
                <w:szCs w:val="18"/>
              </w:rPr>
            </w:pPr>
            <w:r>
              <w:rPr>
                <w:rFonts w:hint="eastAsia" w:ascii="宋体" w:hAnsi="宋体" w:eastAsia="宋体" w:cs="宋体"/>
                <w:color w:val="231916"/>
                <w:kern w:val="0"/>
                <w:sz w:val="18"/>
                <w:szCs w:val="18"/>
              </w:rPr>
              <w:t>乡级</w:t>
            </w:r>
          </w:p>
        </w:tc>
      </w:tr>
      <w:tr>
        <w:tblPrEx>
          <w:tblCellMar>
            <w:top w:w="0" w:type="dxa"/>
            <w:left w:w="0" w:type="dxa"/>
            <w:bottom w:w="0" w:type="dxa"/>
            <w:right w:w="0" w:type="dxa"/>
          </w:tblCellMar>
        </w:tblPrEx>
        <w:trPr>
          <w:trHeight w:val="3012" w:hRule="atLeast"/>
        </w:trPr>
        <w:tc>
          <w:tcPr>
            <w:tcW w:w="324" w:type="dxa"/>
            <w:tcBorders>
              <w:top w:val="nil"/>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1</w:t>
            </w:r>
          </w:p>
        </w:tc>
        <w:tc>
          <w:tcPr>
            <w:tcW w:w="552"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农业生产发展资金</w:t>
            </w:r>
          </w:p>
        </w:tc>
        <w:tc>
          <w:tcPr>
            <w:tcW w:w="552"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农机购置补贴</w:t>
            </w:r>
          </w:p>
        </w:tc>
        <w:tc>
          <w:tcPr>
            <w:tcW w:w="2382"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政策依据；</w:t>
            </w:r>
          </w:p>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申请指南：</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包括补贴对象、补贴范围、补贴标准、申请程序、申请材料、咨询电话、受理单位、办理时限、联系方式等；</w:t>
            </w:r>
          </w:p>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补贴结果；</w:t>
            </w:r>
          </w:p>
          <w:p>
            <w:pPr>
              <w:widowControl/>
              <w:spacing w:line="300" w:lineRule="exact"/>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监督渠道：包括举报电话、地址等。</w:t>
            </w:r>
          </w:p>
        </w:tc>
        <w:tc>
          <w:tcPr>
            <w:tcW w:w="335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《中华人民共和国农业机械化促进法》（中华人民共和国主席令 第十六号）、《农业生产发展资金管理办法》（财农〔2017〕41号）、《2018—2020年农机购置补贴实施指导意见》（农办财〔2018〕13号）、《山西省2018-2020年农业机械购置补贴实施方案》（晋农农机财〔2018〕12号）《山西省财政厅山西省农业厅&lt;关于印发农业生产发展资金管理实施细则&gt;的通知》（晋财农〔2017〕92号）</w:t>
            </w:r>
          </w:p>
        </w:tc>
        <w:tc>
          <w:tcPr>
            <w:tcW w:w="97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自政府信息形成或者变更之日起20个工作日内。法律、法规对政府信息公开的期限另有规定的，从其规定</w:t>
            </w:r>
          </w:p>
        </w:tc>
        <w:tc>
          <w:tcPr>
            <w:tcW w:w="631"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县级农业农村部门</w:t>
            </w:r>
          </w:p>
        </w:tc>
        <w:tc>
          <w:tcPr>
            <w:tcW w:w="216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rFonts w:ascii="宋体" w:hAnsi="宋体" w:eastAsia="宋体" w:cs="宋体"/>
                <w:color w:val="231916"/>
                <w:kern w:val="0"/>
                <w:sz w:val="18"/>
                <w:szCs w:val="18"/>
              </w:rPr>
            </w:pPr>
            <w:r>
              <w:rPr>
                <w:rFonts w:hint="eastAsia" w:ascii="宋体" w:hAnsi="宋体" w:eastAsia="宋体" w:cs="宋体"/>
                <w:color w:val="231916"/>
                <w:kern w:val="0"/>
                <w:sz w:val="18"/>
                <w:szCs w:val="18"/>
              </w:rPr>
              <w:t>■政府网站□政府公报</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□两微一端□发布会/听证会□广播电视□纸质媒体□公开查阅点□政务服务中心□便民服务站□入户/现场□社区/企事业单位/村公示栏（电子屏）□精准推送</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□其他</w:t>
            </w:r>
          </w:p>
        </w:tc>
        <w:tc>
          <w:tcPr>
            <w:tcW w:w="62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47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c>
          <w:tcPr>
            <w:tcW w:w="59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599"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c>
          <w:tcPr>
            <w:tcW w:w="52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50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r>
      <w:tr>
        <w:tblPrEx>
          <w:tblCellMar>
            <w:top w:w="0" w:type="dxa"/>
            <w:left w:w="0" w:type="dxa"/>
            <w:bottom w:w="0" w:type="dxa"/>
            <w:right w:w="0" w:type="dxa"/>
          </w:tblCellMar>
        </w:tblPrEx>
        <w:trPr>
          <w:trHeight w:val="3012" w:hRule="atLeast"/>
        </w:trPr>
        <w:tc>
          <w:tcPr>
            <w:tcW w:w="324" w:type="dxa"/>
            <w:tcBorders>
              <w:top w:val="nil"/>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2</w:t>
            </w:r>
          </w:p>
        </w:tc>
        <w:tc>
          <w:tcPr>
            <w:tcW w:w="552"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农业生产发展资金</w:t>
            </w:r>
          </w:p>
        </w:tc>
        <w:tc>
          <w:tcPr>
            <w:tcW w:w="552"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耕地地力保护</w:t>
            </w:r>
          </w:p>
        </w:tc>
        <w:tc>
          <w:tcPr>
            <w:tcW w:w="2382"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政策依据；</w:t>
            </w:r>
          </w:p>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申请指南：</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包括补贴对象、补贴范围、补贴标准、申请程序、申请材料、咨询电话、受理单位、办理时限、联系方式等；</w:t>
            </w:r>
          </w:p>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补贴结果；</w:t>
            </w:r>
          </w:p>
          <w:p>
            <w:pPr>
              <w:widowControl/>
              <w:spacing w:line="300" w:lineRule="exact"/>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监督渠道：包括举报电话、地址等。</w:t>
            </w:r>
          </w:p>
        </w:tc>
        <w:tc>
          <w:tcPr>
            <w:tcW w:w="335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《财政部农业农村部关于修订印发农业相关转移支付资金管理办法的通知》（财农〔2020〕10号）、《财政部 农业部关于全面推 开农业“三项补贴”改革工作的通知》（财农〔2016〕26号）、《山西省财政厅山西省农业厅&lt;关于印发农业生产发展资金管理实施细则&gt;的通知》（晋财农〔2017〕92号）、《山西省财政厅山西省农业厅关于做好农业支持保护补贴资金工作的通知》（晋财农〔2018〕72号）</w:t>
            </w:r>
          </w:p>
        </w:tc>
        <w:tc>
          <w:tcPr>
            <w:tcW w:w="97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自政府信息形成或者变更之日起20个工作日内。法律、法规对政府信息公开的期限另有规定的，从其规定</w:t>
            </w:r>
          </w:p>
        </w:tc>
        <w:tc>
          <w:tcPr>
            <w:tcW w:w="631"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县级农业农村部门</w:t>
            </w:r>
          </w:p>
        </w:tc>
        <w:tc>
          <w:tcPr>
            <w:tcW w:w="216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rFonts w:ascii="宋体" w:hAnsi="宋体" w:eastAsia="宋体" w:cs="宋体"/>
                <w:color w:val="231916"/>
                <w:kern w:val="0"/>
                <w:sz w:val="18"/>
                <w:szCs w:val="18"/>
              </w:rPr>
            </w:pPr>
            <w:r>
              <w:rPr>
                <w:rFonts w:hint="eastAsia" w:ascii="宋体" w:hAnsi="宋体" w:eastAsia="宋体" w:cs="宋体"/>
                <w:color w:val="231916"/>
                <w:kern w:val="0"/>
                <w:sz w:val="18"/>
                <w:szCs w:val="18"/>
              </w:rPr>
              <w:t>■政府网站□政府公报</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□两微一端□发布会/听证会□广播电视□纸质媒体□公开查阅点□政务服务中心□便民服务站□入户/现场□社区/企事业单位/村公示栏（电子屏）□精准推送</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□其他</w:t>
            </w:r>
          </w:p>
        </w:tc>
        <w:tc>
          <w:tcPr>
            <w:tcW w:w="62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47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c>
          <w:tcPr>
            <w:tcW w:w="59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599"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c>
          <w:tcPr>
            <w:tcW w:w="52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500" w:type="dxa"/>
            <w:tcBorders>
              <w:top w:val="nil"/>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r>
      <w:tr>
        <w:tblPrEx>
          <w:tblCellMar>
            <w:top w:w="0" w:type="dxa"/>
            <w:left w:w="0" w:type="dxa"/>
            <w:bottom w:w="0" w:type="dxa"/>
            <w:right w:w="0" w:type="dxa"/>
          </w:tblCellMar>
        </w:tblPrEx>
        <w:trPr>
          <w:trHeight w:val="4330" w:hRule="atLeast"/>
        </w:trPr>
        <w:tc>
          <w:tcPr>
            <w:tcW w:w="324"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3</w:t>
            </w:r>
          </w:p>
        </w:tc>
        <w:tc>
          <w:tcPr>
            <w:tcW w:w="552"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农业生产发展资金</w:t>
            </w:r>
          </w:p>
        </w:tc>
        <w:tc>
          <w:tcPr>
            <w:tcW w:w="552"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新型职业农民培育</w:t>
            </w:r>
          </w:p>
        </w:tc>
        <w:tc>
          <w:tcPr>
            <w:tcW w:w="2382"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政策依据；</w:t>
            </w:r>
          </w:p>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申请指南：</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包括补贴对象、补贴范围、补贴标准、申请程序、申请材料、咨询电话、受理单位、办理时限、联系方式等；</w:t>
            </w:r>
          </w:p>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补贴结果；</w:t>
            </w:r>
          </w:p>
          <w:p>
            <w:pPr>
              <w:widowControl/>
              <w:spacing w:line="300" w:lineRule="exact"/>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监督渠道：包括举报电话、地址等。</w:t>
            </w:r>
          </w:p>
        </w:tc>
        <w:tc>
          <w:tcPr>
            <w:tcW w:w="335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《财政部农业农村部关于修订印发农业相关转移支付资金管理办法的通知》（财农〔2020〕10号）、《“十三五”全国 新型职业农民培育发展规划》（农科教发〔2017〕2号）《山西省财政厅山西省农业厅&lt;关于印发农业生产发展资金管理实施细则&gt;的通知》（晋财农〔2017〕92号）、《山西省人民政府关于印发山西省新型职业农民培育规划纲要（2015-2020年）的通知》、（晋政发〔2015〕6号）</w:t>
            </w:r>
          </w:p>
        </w:tc>
        <w:tc>
          <w:tcPr>
            <w:tcW w:w="97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自政府信息形成或者变更之日起20个工作日内。法律、法规对政府信息公开的期限另有规定的，从其规定</w:t>
            </w:r>
          </w:p>
        </w:tc>
        <w:tc>
          <w:tcPr>
            <w:tcW w:w="631"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县级农业农村部门</w:t>
            </w:r>
          </w:p>
        </w:tc>
        <w:tc>
          <w:tcPr>
            <w:tcW w:w="216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rFonts w:ascii="宋体" w:hAnsi="宋体" w:eastAsia="宋体" w:cs="宋体"/>
                <w:color w:val="231916"/>
                <w:kern w:val="0"/>
                <w:sz w:val="18"/>
                <w:szCs w:val="18"/>
              </w:rPr>
            </w:pPr>
            <w:r>
              <w:rPr>
                <w:rFonts w:hint="eastAsia" w:ascii="宋体" w:hAnsi="宋体" w:eastAsia="宋体" w:cs="宋体"/>
                <w:color w:val="231916"/>
                <w:kern w:val="0"/>
                <w:sz w:val="18"/>
                <w:szCs w:val="18"/>
              </w:rPr>
              <w:t>■政府网站□政府公报</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□两微一端□发布会/听证会□广播电视□纸质媒体□公开查阅点□政务服务中心□便民服务站□入户/现场□社区/企事业单位/村公示栏（电子屏）□精准推送</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□其他</w:t>
            </w:r>
          </w:p>
        </w:tc>
        <w:tc>
          <w:tcPr>
            <w:tcW w:w="62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47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c>
          <w:tcPr>
            <w:tcW w:w="59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599"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c>
          <w:tcPr>
            <w:tcW w:w="52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50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r>
      <w:tr>
        <w:tblPrEx>
          <w:tblCellMar>
            <w:top w:w="0" w:type="dxa"/>
            <w:left w:w="0" w:type="dxa"/>
            <w:bottom w:w="0" w:type="dxa"/>
            <w:right w:w="0" w:type="dxa"/>
          </w:tblCellMar>
        </w:tblPrEx>
        <w:trPr>
          <w:trHeight w:val="4330" w:hRule="atLeast"/>
        </w:trPr>
        <w:tc>
          <w:tcPr>
            <w:tcW w:w="324"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4</w:t>
            </w:r>
          </w:p>
        </w:tc>
        <w:tc>
          <w:tcPr>
            <w:tcW w:w="552"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农业生产发展资金</w:t>
            </w:r>
          </w:p>
        </w:tc>
        <w:tc>
          <w:tcPr>
            <w:tcW w:w="552"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支持新型农业经营主体</w:t>
            </w:r>
          </w:p>
        </w:tc>
        <w:tc>
          <w:tcPr>
            <w:tcW w:w="2382"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政策依据；</w:t>
            </w:r>
          </w:p>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申请指南：</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包括补贴对象、补贴范围、补贴标准、申请程序、申请材料、咨询电话、受理单位、办理时限、联系方式等；</w:t>
            </w:r>
          </w:p>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补贴结果；</w:t>
            </w:r>
          </w:p>
          <w:p>
            <w:pPr>
              <w:widowControl/>
              <w:spacing w:line="300" w:lineRule="exact"/>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监督渠道：包括举报电话、地址等。</w:t>
            </w:r>
          </w:p>
        </w:tc>
        <w:tc>
          <w:tcPr>
            <w:tcW w:w="3350"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《财政部农业农村部关于修订印发农业相关转移支付资金管理办法的通知》（财农〔2020〕10号）《农业生产发展资金实施细则》（晋财农〔2017〕92号）</w:t>
            </w:r>
          </w:p>
        </w:tc>
        <w:tc>
          <w:tcPr>
            <w:tcW w:w="970"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自政府信息形成或者变更之日起20个工作日内。法律、法规对政府信息公开的期限另有规定的，从其规定</w:t>
            </w:r>
          </w:p>
        </w:tc>
        <w:tc>
          <w:tcPr>
            <w:tcW w:w="631"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县级农业农村部门</w:t>
            </w:r>
          </w:p>
        </w:tc>
        <w:tc>
          <w:tcPr>
            <w:tcW w:w="2160"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rFonts w:ascii="宋体" w:hAnsi="宋体" w:eastAsia="宋体" w:cs="宋体"/>
                <w:color w:val="231916"/>
                <w:kern w:val="0"/>
                <w:sz w:val="18"/>
                <w:szCs w:val="18"/>
              </w:rPr>
            </w:pPr>
            <w:r>
              <w:rPr>
                <w:rFonts w:hint="eastAsia" w:ascii="宋体" w:hAnsi="宋体" w:eastAsia="宋体" w:cs="宋体"/>
                <w:color w:val="231916"/>
                <w:kern w:val="0"/>
                <w:sz w:val="18"/>
                <w:szCs w:val="18"/>
              </w:rPr>
              <w:t>■政府网站□政府公报</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□两微一端□发布会/听证会□广播电视□纸质媒体□公开查阅点□政务服务中心□便民服务站□入户/现场□社区/企事业单位/村公示栏（电子屏）□精准推送</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□其他</w:t>
            </w:r>
          </w:p>
        </w:tc>
        <w:tc>
          <w:tcPr>
            <w:tcW w:w="620"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470"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c>
          <w:tcPr>
            <w:tcW w:w="590"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599"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c>
          <w:tcPr>
            <w:tcW w:w="520"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500" w:type="dxa"/>
            <w:tcBorders>
              <w:top w:val="single" w:color="231916" w:sz="8" w:space="0"/>
              <w:left w:val="nil"/>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r>
      <w:tr>
        <w:tblPrEx>
          <w:tblCellMar>
            <w:top w:w="0" w:type="dxa"/>
            <w:left w:w="0" w:type="dxa"/>
            <w:bottom w:w="0" w:type="dxa"/>
            <w:right w:w="0" w:type="dxa"/>
          </w:tblCellMar>
        </w:tblPrEx>
        <w:trPr>
          <w:trHeight w:val="3947" w:hRule="atLeast"/>
        </w:trPr>
        <w:tc>
          <w:tcPr>
            <w:tcW w:w="324"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5</w:t>
            </w:r>
          </w:p>
        </w:tc>
        <w:tc>
          <w:tcPr>
            <w:tcW w:w="552"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农业资源及生 态 保护补助资金</w:t>
            </w:r>
          </w:p>
        </w:tc>
        <w:tc>
          <w:tcPr>
            <w:tcW w:w="552"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草原禁牧补助与草畜平衡奖励</w:t>
            </w:r>
          </w:p>
        </w:tc>
        <w:tc>
          <w:tcPr>
            <w:tcW w:w="2382"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政策依据；</w:t>
            </w:r>
          </w:p>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申请指南：</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包括补贴对象、补贴范围、补贴标准、申请程序、申请材料、咨询电话、受理单位、办理时限、联系方式等；</w:t>
            </w:r>
          </w:p>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补贴结果；</w:t>
            </w:r>
          </w:p>
          <w:p>
            <w:pPr>
              <w:widowControl/>
              <w:spacing w:line="300" w:lineRule="exact"/>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监督渠道：包括举报电话、地址等。。</w:t>
            </w:r>
          </w:p>
        </w:tc>
        <w:tc>
          <w:tcPr>
            <w:tcW w:w="335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新一轮草原生态保护补助奖励政策实施指导意见（2016—2020）》（农办财〔2016〕10号）、《财政部农业农村部关于修订印发农业相关转移支付资金管理办法的通知》（财农〔2020〕10号）《山西省财政厅山西省农业厅&lt;关于印发农业资源及生态保护资金管理实施细则&gt;的通知》（晋财农〔2017〕114号）</w:t>
            </w:r>
          </w:p>
        </w:tc>
        <w:tc>
          <w:tcPr>
            <w:tcW w:w="97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自政府信息形成或者变更之日起20个工作日内。法律、法规对政府信息公开的期限另有规定的，从其规定</w:t>
            </w:r>
          </w:p>
        </w:tc>
        <w:tc>
          <w:tcPr>
            <w:tcW w:w="631"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县级农业农村部门</w:t>
            </w:r>
          </w:p>
        </w:tc>
        <w:tc>
          <w:tcPr>
            <w:tcW w:w="216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rFonts w:ascii="宋体" w:hAnsi="宋体" w:eastAsia="宋体" w:cs="宋体"/>
                <w:color w:val="231916"/>
                <w:kern w:val="0"/>
                <w:sz w:val="18"/>
                <w:szCs w:val="18"/>
              </w:rPr>
            </w:pPr>
            <w:r>
              <w:rPr>
                <w:rFonts w:hint="eastAsia" w:ascii="宋体" w:hAnsi="宋体" w:eastAsia="宋体" w:cs="宋体"/>
                <w:color w:val="231916"/>
                <w:kern w:val="0"/>
                <w:sz w:val="18"/>
                <w:szCs w:val="18"/>
              </w:rPr>
              <w:t>■政府网站□政府公报</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□两微一端□发布会/听证会□广播电视□纸质媒体□公开查阅点□政务服务中心□便民服务站□入户/现场□社区/企事业单位/村公示栏（电子屏）□精准推送</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□其他</w:t>
            </w:r>
          </w:p>
        </w:tc>
        <w:tc>
          <w:tcPr>
            <w:tcW w:w="62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47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c>
          <w:tcPr>
            <w:tcW w:w="59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599"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c>
          <w:tcPr>
            <w:tcW w:w="52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50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r>
      <w:tr>
        <w:tblPrEx>
          <w:tblCellMar>
            <w:top w:w="0" w:type="dxa"/>
            <w:left w:w="0" w:type="dxa"/>
            <w:bottom w:w="0" w:type="dxa"/>
            <w:right w:w="0" w:type="dxa"/>
          </w:tblCellMar>
        </w:tblPrEx>
        <w:trPr>
          <w:trHeight w:val="3947" w:hRule="atLeast"/>
        </w:trPr>
        <w:tc>
          <w:tcPr>
            <w:tcW w:w="324"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6</w:t>
            </w:r>
          </w:p>
        </w:tc>
        <w:tc>
          <w:tcPr>
            <w:tcW w:w="552"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动物防疫等补助经费</w:t>
            </w:r>
          </w:p>
        </w:tc>
        <w:tc>
          <w:tcPr>
            <w:tcW w:w="552"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强制扑杀、强制免疫和养殖环节无害化处理补助</w:t>
            </w:r>
          </w:p>
        </w:tc>
        <w:tc>
          <w:tcPr>
            <w:tcW w:w="2382"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政策依据；</w:t>
            </w:r>
          </w:p>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申请指南：</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包括补贴对象、补贴范围、补贴标准、申请程序、申请材料、咨询电话、受理单位、办理时限、联系方式等；</w:t>
            </w:r>
          </w:p>
          <w:p>
            <w:pPr>
              <w:widowControl/>
              <w:spacing w:line="300" w:lineRule="exact"/>
              <w:ind w:left="420" w:hanging="420"/>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补贴结果；</w:t>
            </w:r>
          </w:p>
          <w:p>
            <w:pPr>
              <w:widowControl/>
              <w:spacing w:line="300" w:lineRule="exact"/>
              <w:jc w:val="left"/>
              <w:textAlignment w:val="center"/>
              <w:rPr>
                <w:sz w:val="18"/>
                <w:szCs w:val="18"/>
              </w:rPr>
            </w:pPr>
            <w:r>
              <w:rPr>
                <w:rFonts w:ascii="Wingdings" w:hAnsi="Wingdings" w:cs="Wingdings"/>
                <w:color w:val="231916"/>
                <w:kern w:val="0"/>
                <w:sz w:val="18"/>
                <w:szCs w:val="18"/>
              </w:rPr>
              <w:t></w:t>
            </w:r>
            <w:r>
              <w:rPr>
                <w:rFonts w:hint="eastAsia" w:ascii="宋体" w:hAnsi="宋体" w:eastAsia="宋体" w:cs="宋体"/>
                <w:color w:val="231916"/>
                <w:kern w:val="0"/>
                <w:sz w:val="18"/>
                <w:szCs w:val="18"/>
              </w:rPr>
              <w:t>监督渠道：包括举报电话、地址等。</w:t>
            </w:r>
          </w:p>
        </w:tc>
        <w:tc>
          <w:tcPr>
            <w:tcW w:w="335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财政部农业农村部关于修订印发农业相关转移支付资金管理办法的通知》（财农〔2020〕10号）、《2019年山西省强制免疫病种“先打后补”实施方案》（晋农办牧医发〔2019〕156号）《关于建立病死畜禽无害化处理机制的意见》（国办发〔2014〕47号）、《山西省财政厅山西省农业厅&lt;关于印发动物防疫等补助经费管理办法实施细则&gt;的通知》（晋财农〔2017〕1164号）</w:t>
            </w:r>
          </w:p>
        </w:tc>
        <w:tc>
          <w:tcPr>
            <w:tcW w:w="97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自政府信息形成或者变更之日起20个工作日内。法律、法规对政府信息公开的期限另有规定的，从其规定</w:t>
            </w:r>
          </w:p>
        </w:tc>
        <w:tc>
          <w:tcPr>
            <w:tcW w:w="631"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bookmarkStart w:id="0" w:name="_GoBack"/>
            <w:bookmarkEnd w:id="0"/>
            <w:r>
              <w:rPr>
                <w:rFonts w:hint="eastAsia" w:ascii="宋体" w:hAnsi="宋体" w:eastAsia="宋体" w:cs="宋体"/>
                <w:color w:val="231916"/>
                <w:kern w:val="0"/>
                <w:sz w:val="18"/>
                <w:szCs w:val="18"/>
              </w:rPr>
              <w:t>县级农业农村部门</w:t>
            </w:r>
          </w:p>
        </w:tc>
        <w:tc>
          <w:tcPr>
            <w:tcW w:w="216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rFonts w:ascii="宋体" w:hAnsi="宋体" w:eastAsia="宋体" w:cs="宋体"/>
                <w:color w:val="231916"/>
                <w:kern w:val="0"/>
                <w:sz w:val="18"/>
                <w:szCs w:val="18"/>
              </w:rPr>
            </w:pPr>
            <w:r>
              <w:rPr>
                <w:rFonts w:hint="eastAsia" w:ascii="宋体" w:hAnsi="宋体" w:eastAsia="宋体" w:cs="宋体"/>
                <w:color w:val="231916"/>
                <w:kern w:val="0"/>
                <w:sz w:val="18"/>
                <w:szCs w:val="18"/>
              </w:rPr>
              <w:t>■政府网站□政府公报</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□两微一端□发布会/听证会□广播电视□纸质媒体□公开查阅点□政务服务中心□便民服务站□入户/现场□社区/企事业单位/村公示栏（电子屏）□精准推送</w:t>
            </w:r>
          </w:p>
          <w:p>
            <w:pPr>
              <w:widowControl/>
              <w:spacing w:line="300" w:lineRule="exact"/>
              <w:jc w:val="left"/>
              <w:textAlignment w:val="center"/>
              <w:rPr>
                <w:sz w:val="18"/>
                <w:szCs w:val="18"/>
              </w:rPr>
            </w:pPr>
            <w:r>
              <w:rPr>
                <w:rFonts w:hint="eastAsia" w:ascii="宋体" w:hAnsi="宋体" w:eastAsia="宋体" w:cs="宋体"/>
                <w:color w:val="231916"/>
                <w:kern w:val="0"/>
                <w:sz w:val="18"/>
                <w:szCs w:val="18"/>
              </w:rPr>
              <w:t>□其他</w:t>
            </w:r>
          </w:p>
        </w:tc>
        <w:tc>
          <w:tcPr>
            <w:tcW w:w="62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47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c>
          <w:tcPr>
            <w:tcW w:w="59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599"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c>
          <w:tcPr>
            <w:tcW w:w="52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w:t>
            </w:r>
          </w:p>
        </w:tc>
        <w:tc>
          <w:tcPr>
            <w:tcW w:w="500" w:type="dxa"/>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rPr>
                <w:sz w:val="18"/>
                <w:szCs w:val="18"/>
              </w:rPr>
            </w:pPr>
          </w:p>
        </w:tc>
      </w:tr>
      <w:tr>
        <w:tblPrEx>
          <w:tblCellMar>
            <w:top w:w="0" w:type="dxa"/>
            <w:left w:w="0" w:type="dxa"/>
            <w:bottom w:w="0" w:type="dxa"/>
            <w:right w:w="0" w:type="dxa"/>
          </w:tblCellMar>
        </w:tblPrEx>
        <w:trPr>
          <w:trHeight w:val="550" w:hRule="atLeast"/>
        </w:trPr>
        <w:tc>
          <w:tcPr>
            <w:tcW w:w="14220" w:type="dxa"/>
            <w:gridSpan w:val="14"/>
            <w:tcBorders>
              <w:top w:val="single" w:color="231916" w:sz="8" w:space="0"/>
              <w:left w:val="single" w:color="231916" w:sz="8" w:space="0"/>
              <w:bottom w:val="single" w:color="231916" w:sz="8" w:space="0"/>
              <w:right w:val="single" w:color="231916" w:sz="8" w:space="0"/>
            </w:tcBorders>
            <w:shd w:val="clear" w:color="auto" w:fill="auto"/>
            <w:tcMar>
              <w:top w:w="12" w:type="dxa"/>
              <w:left w:w="12" w:type="dxa"/>
              <w:right w:w="12" w:type="dxa"/>
            </w:tcMar>
            <w:vAlign w:val="center"/>
          </w:tcPr>
          <w:p>
            <w:pPr>
              <w:widowControl/>
              <w:spacing w:line="300" w:lineRule="exact"/>
              <w:jc w:val="left"/>
              <w:textAlignment w:val="center"/>
              <w:rPr>
                <w:sz w:val="18"/>
                <w:szCs w:val="18"/>
              </w:rPr>
            </w:pPr>
            <w:r>
              <w:rPr>
                <w:rFonts w:hint="eastAsia" w:ascii="宋体" w:hAnsi="宋体" w:eastAsia="宋体" w:cs="宋体"/>
                <w:color w:val="231916"/>
                <w:kern w:val="0"/>
                <w:sz w:val="18"/>
                <w:szCs w:val="18"/>
              </w:rPr>
              <w:t>注：公开信息时应注意保护个人身份信息和隐私安全。</w:t>
            </w:r>
          </w:p>
        </w:tc>
      </w:tr>
    </w:tbl>
    <w:p>
      <w:pPr>
        <w:pStyle w:val="2"/>
        <w:widowControl/>
        <w:wordWrap w:val="0"/>
        <w:spacing w:beforeAutospacing="0" w:afterAutospacing="0" w:line="580" w:lineRule="exact"/>
        <w:jc w:val="center"/>
        <w:rPr>
          <w:rFonts w:ascii="方正小标宋简体" w:hAnsi="方正小标宋简体" w:eastAsia="方正小标宋简体" w:cs="方正小标宋简体"/>
          <w:color w:val="231916"/>
          <w:sz w:val="44"/>
          <w:szCs w:val="44"/>
        </w:rPr>
      </w:pPr>
    </w:p>
    <w:p>
      <w:pPr>
        <w:spacing w:line="580" w:lineRule="exact"/>
      </w:pPr>
    </w:p>
    <w:sectPr>
      <w:pgSz w:w="16838" w:h="11906" w:orient="landscape"/>
      <w:pgMar w:top="1587" w:right="2098" w:bottom="1474" w:left="1984" w:header="851" w:footer="992"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8"/>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42241"/>
    <w:rsid w:val="00942241"/>
    <w:rsid w:val="00CC44E1"/>
    <w:rsid w:val="09125B70"/>
    <w:rsid w:val="144C54FA"/>
    <w:rsid w:val="16252B2F"/>
    <w:rsid w:val="20D35DE1"/>
    <w:rsid w:val="255B452E"/>
    <w:rsid w:val="321F0649"/>
    <w:rsid w:val="364167EA"/>
    <w:rsid w:val="3F124856"/>
    <w:rsid w:val="47A90E55"/>
    <w:rsid w:val="4C4F7C9C"/>
    <w:rsid w:val="4FAA44B9"/>
    <w:rsid w:val="67B0221D"/>
    <w:rsid w:val="76C56C6F"/>
    <w:rsid w:val="79EF7BB1"/>
    <w:rsid w:val="7A0230D5"/>
    <w:rsid w:val="7A0C11CE"/>
    <w:rsid w:val="7D294D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415</Words>
  <Characters>2366</Characters>
  <Lines>19</Lines>
  <Paragraphs>5</Paragraphs>
  <TotalTime>3</TotalTime>
  <ScaleCrop>false</ScaleCrop>
  <LinksUpToDate>false</LinksUpToDate>
  <CharactersWithSpaces>2776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fl</dc:creator>
  <cp:lastModifiedBy>和光同尘</cp:lastModifiedBy>
  <dcterms:modified xsi:type="dcterms:W3CDTF">2020-12-18T07:47:38Z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